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19 vom 13. Juni 2014</w:t>
      </w:r>
    </w:p>
    <w:p>
      <w:r>
        <w:t>UR Obergericht, 2014-06-13, DE</w:t>
      </w:r>
    </w:p>
    <w:p>
      <w:r>
        <w:rPr>
          <w:b/>
        </w:rPr>
        <w:t xml:space="preserve">Quelle: </w:t>
      </w:r>
      <w:r>
        <w:t>https://mcp.opencaselaw.ch/entscheid/ur_gerichte_OG V 14 19</w:t>
      </w:r>
    </w:p>
    <w:p>
      <w:r>
        <w:t>FR: UR_GERICHTE OG V 14 19 du 13 juin 2014</w:t>
      </w:r>
    </w:p>
    <w:p>
      <w:r>
        <w:t>IT: UR_GERICHTE OG V 14 19 del 13 giugno 2014</w:t>
      </w:r>
    </w:p>
    <w:p>
      <w:pPr>
        <w:pStyle w:val="Heading2"/>
      </w:pPr>
      <w:r>
        <w:t>Erwägungen</w:t>
      </w:r>
    </w:p>
    <w:p>
      <w:r>
        <w:rPr>
          <w:b/>
        </w:rPr>
        <w:t>E. 2</w:t>
      </w:r>
    </w:p>
    <w:p>
      <w:r>
        <w:t>Das Obergericht verpflichtete die Vorinstanz zur Teilnahme an der mündlichen Schlussverhandlung. Daran störte sich die Beschwerdeführerin 1. Sie stellte sich auf den Standpunkt, dass nur Parteien zur Verhandlung respektive zum Vortrag zuzulassen seien. Dem kann nicht gefolgt werden. Der verfügenden Behörde kommt im Rechtsmittelverfahren regelmässig keine Parteistellung zu (Martin Bertschi, Kommentar zum Verwaltungsrechtspflegegesetz des Kantons Zürich, 3. Aufl., Zürich 2014, Vorbem. §§ 21- 21a N. 18; Kölz/Häner/Bertschi, Verwaltungsverfahren und Verwaltungsrechtspflegeverfahren des Bundes, 3. Aufl., Zürich 2013, Rz. 924). Jedoch wird sie in aller Regel wie eine Partei behandelt (Markus Müller, Bernische Verwaltungsrechtspflege, 2. Aufl., Bern 2011, S. 41). Das Anfechtungsverfahren verfügt über den Charakter eines Einparteienverfahrens (Cavelti/Vögeli, Verwaltungsgerichtbarkeit im Kanton St. Gallen, 2. Aufl., St. Gallen 2003, Rz. 307). Es ist dergestalt, dass eine eigentliche Gegenpartei fehlt. Daher macht es Sinn, wenn die Vorinstanz diese Rolle einnimmt. Dies drängt sich auch deshalb auf, weil die verfügende Behörde die den privaten Interessen entgegenstehenden öffentlichen Interessen zu vertreten hat (Kölz/Häner/Bertschi, a.a.O., Rz. 924). Diese Rolle obliegt der Vorinstanz auch im Rahmen einer öffentlichen mündlichen Schlussverhandlung, wozu sie im Verwaltungsgerichtsbeschwerdeverfahren praxisgemäss eingeladen wird. Die bundesrechtlichen Bestimmungen des Kindes- und Erwachsenenschutzes stehen einer solchen Praxis nicht entgegen. Art. 450d Abs. 1 ZGB hält fest, dass die gerichtliche Beschwerdeinstanz der Erwachsenenschutzbehörde Gelegenheit zur Vernehmlassung gibt. Dazu kann sie verpflichtet werden, wenn dies zur Klärung der Situation unerlässlich ist (BBl 2006 S. 7086; Ruth E. Reusser, in Basler</w:t>
      </w:r>
    </w:p>
    <w:p>
      <w:r>
        <w:t>Kommentar, Erwachsenenschutz, 2012, N. 16 zu Art. 450d ZGB). Wenn eine schriftliche Stellungnahme möglich ist, muss ebenso ein mündlicher Vortrag gestattet sein. Zusammenfassend kann also gesagt werden, dass es dem Obergericht erlaubt ist, die Kindes- und Erwachsenenschutzbehörde mündlich anzuhören. Vor diesem Hintergrund wurde der entsprechende Antrag der Beschwerdeführerin 1 abgelehnt.</w:t>
      </w:r>
    </w:p>
    <w:p>
      <w:r>
        <w:rPr>
          <w:b/>
        </w:rPr>
        <w:t>E. 3</w:t>
      </w:r>
    </w:p>
    <w:p>
      <w:r>
        <w:t>Entgegen dem Antrag der Beschwerdeführerin 1 schloss das Obergericht die Öffentlichkeit aus. 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Das Obergericht oder der Vorsitzende kann gemäss Art. 61 VRPV, auch wenn es gesetzlich nicht vorgeschrieben ist oder die Parteien darauf verzichteten, eine mündliche Schlussverhandlung anordnen (Abs. 1). Mündliche Schlussverhandlungen sind öffentlich, sofern das Gericht nicht aus überwiegenden öffentlichen Interessen oder schutzwürdigen Privatinteressen die Öffentlichkeit ausschliesst (Abs. 2). Der Grundsatz der Öffentlichkeit bedeutet eine Absage an jede Form geheimer Kabinettsjustiz. Er soll den Personen, die am Prozess beteiligt sind, eine korrekte Behandlung gewährleisten. Darüber hinaus soll es der allgemeinen Öffentlichkeit ermöglicht werden, Kenntnis davon zu erhalten, wie das Recht verwaltet und die Rechtspflege ausgeführt wird; sie soll die Prozesse unmittelbar verfolgen und dadurch eine Kontrollfunktion wahrnehmen können. Es soll damit Transparenz der Rechtsprechung geschaffen und das Vertrauen in die Gerichtsbarkeit gesichert werden (BGE 133 I 107 E. 8.1, 119 Ia 104 E. 4a). Die Öffentlichkeit des Verfahrens kann aus den Gründen gemäss Art.</w:t>
      </w:r>
    </w:p>
    <w:p>
      <w:r>
        <w:rPr>
          <w:b/>
        </w:rPr>
        <w:t>E. 6</w:t>
      </w:r>
    </w:p>
    <w:p>
      <w:r>
        <w:t>Sämtliche Parteien haben ihr Interesse an einem raschen Entscheid kundgetan. Übereinstimmend verlangen sie, dass die Aufhebung der elterlichen Obhut fallen gelassen wird. Aufgrund der Trennungssituation der Beschwerdeführern 1 und des Beigeladenen bestehen aber unterschiedliche Interessen, wer die Obhut der Beschwerdeführerin 2 und des Beschwerdeführers 3 innehaben soll. Das heisst sowohl die Beschwerdeführerin 1 als auch der Beigeladene beanspruchen die Zuteilung der elterlichen Obhut. Dieser Aspekt darf vorliegend nicht ausser Acht gelassen werden. Vielmehr muss der Frage, ob die</w:t>
      </w:r>
    </w:p>
    <w:p>
      <w:r>
        <w:t>Beschwerdeführerin 1 und der Beigeladene je alleine überhaupt im Stande sind, die Pflege und die Erziehung der Beschwerdeführerin 2 und des Beschwerdeführers 3 mit Blick auf deren Wohl zu leiten (Art. 301 Abs. 1 ZGB), ein bestimmtes Gewicht beigemessen werden. Dies liegt im Bereich des Streitgegenstandes, über welchen das Obergericht zuständigkeitshalber zu entscheiden hat (vgl. Art. 315a Abs. 3 Ziff. 1 ZGB). Unter diesen Umständen war denn auch die erfolgte Beiladung angezeigt (Art. 9 Abs. 1 VRPV), wenngleich der Beigeladene auf eine eigentliche Beschwerdeführung verzichtete. Zusammenfassend wird also ein Entscheid über die Obhut gefordert. Die von der Beschwerdeführerin 1 anfänglich im Hauptpunkt verlangte Kassation und Rückweisung wegen formellen Rügen wird nur noch eventuell beantragt. Die Rüge der Gehörsverletzung und die dazu gehörigen Vorbringen der Parteien bedürfen aber folgender Bemerkungen:</w:t>
      </w:r>
    </w:p>
    <w:p>
      <w:r>
        <w:t>a) Der Umfang des Anspruches auf rechtliches Gehör im kantonalen Verwaltungsgerichtsbeschwerdeverfahren bestimmt sich in erster Linie nach den anwendbaren Verfahrensvorschriften des Bundes und des Kantons (Häfelin/Müller/Uhlmann, Allgemeines Verwaltungsrecht, 6. Aufl., Zürich 2010, Rz. 1676). Gemäss Art. 15 Abs. 1 VRPV beachten die Behörden in jedem Verfahren, das zu einer Verfügung führt, die Grundsätze des rechtlichen Gehörs. Der kantonalrechtliche Anspruch geht nicht über denjenigen in Art. 29 Abs. 2 BV hinaus (Bericht und Antrag des Regierungsrates vom 16.02.1994 an den Landrat zur VRPV, S. 16 ff.). Somit kann weitgehend auf die diesbezügliche Lehre und Rechtsprechung verwiesen werden. Der aus Art. 29 Abs. 2 BV abgeleitete Anspruch auf rechtliches Gehör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Entscheides dar, welcher in die Rechtsstellung des Einzelnen eingreift. Dazu gehört das Recht des Betroffenen, sich vor Erlass eines Entscheides zur Sache zu äussern, erhebliche Beweise beizubringen, Einsicht in die Akten zu nehmen, mit erheblichen Beweisen entweder mitzuwirken oder sich zumindest zum Beweisergebnis zu äussern, wenn dieses geeignet ist, den Entscheid zu beeinflussen (BGE 135 II 293 E. 5.1, 132 II 494 E. 3.2, 127 I 56 E. 2b). Hingegen räumt Art. 29 Abs. 2 BV keinen Anspruch auf eine mündliche Anhörung ein (BGE 134 I 148 E. 5.3). Jedoch verpflichtet Art. 447 ZGB zur persönlichen Anhörung (Auer/Marti, in Basler Kommentar, Erwachsenenschutz, 2012, N. 6 zu Art. 447).</w:t>
      </w:r>
    </w:p>
    <w:p>
      <w:r>
        <w:t>b) Das Recht, angehört zu werden, ist formeller Natur, womit seine Verletzung ungeachtet der materiellen Begründetheit des Rechtsmittels zur Gutheissung der Beschwerde und zur Aufhebung des angefochtenen Entscheides führt (BGE 135 I 190 E. 2.2).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197 f. E. 2.3.2 m.H.).</w:t>
      </w:r>
    </w:p>
    <w:p>
      <w:r>
        <w:t>c) Das Recht des Kindes auf Vertretung gemäss Art. 314abis ZGB hat seine Grundlage im Anspruch auf rechtliches Gehör (BBl 2006 S. 7081; Daniel Steck, in FamKomm Erwachsenenschutz, Bern 2013, N. 3 und 5 zu Art. 449a ZGB; derselbe, in Rosch/Büchler/Jakob [Hrsg.], Das neue Erwachsenenschutzrecht, Basel 2011, N. 1 Art. 449a ZGB). Nach Art. 314abis ZGB ordnet die Kindesschutzbehörde wenn nötig die Vertretung des Kindes an und bezeichnet als Beistand eine in fürsorgerischen und rechtlichen Fragen erfahrene Person (Abs. 1). Die Kindesschutzbehörde prüft die Anordnung der Vertretung insbesondere, wenn die Unterbringung des Kindes Gegenstand des</w:t>
      </w:r>
    </w:p>
    <w:p>
      <w:r>
        <w:t>Verfahrens ist (Abs. 2 Ziff. 1). Der Beistand des Kindes kann Anträge stellen und Rechtsmittel einlegen (Abs. 3). Die Kindsvertretung ist aber nicht zwingend vorzusehen (BGE 5A_744/2013 vom 31.01.2014 E. 3.3). Jedoch besteht im Verfahren betreffend Entzug des Obhutsrechtes eine Prüfungspflicht (Michelle Cottier, a.a.O., N. 4 zu Art. 314abis ZGB). Da die Anliegen der Beschwerdeführerin 2 und des Beschwerdeführers 3 unklar erschienen und ihre Beurteilung der Situation in den Prozess Eingang finden sollte (E. 1b; BGE 5P.84/2006 vom 03.05.2006 E. 3.4), stellte das Obergericht der Beschwerdeführerin 2 und dem Beschwerdeführer 3 einen unabhängigen Prozessvertreter beiseite. Damit werden die Mitwirkungsrechte der Beschwerdeführerin 2 und des Beschwerdeführers 3 gewährleistet. Hingegen kann man sich fragen, ob diesen Mitwirkungsrechten im vorinstanzlichen Verfahren genügend Achtung geschenkt worden ist. Tatsächlich stand der Aspekt der Sachverhaltsaufklärung im Vordergrund. Soweit der Prozessbeistand schon im vor- instanzlichen Verfahren hätte bestellt werden sollen, kann dieser Fehler nun aber als geheilt betrachtet werden. Das Obergericht verfügt nämlich über volle Kognition (Art. 450a Abs. 1 ZGB; Art. 57 Abs. 4 VRPV). Ausserdem entspricht es dem Bedürfnis der Parteien an einem raschen Verfahren.</w:t>
      </w:r>
    </w:p>
    <w:p>
      <w:r>
        <w:t>d) Nicht nur das Fehlen eines Beistandes für die Kinder (Beschwerdeführerin 2 und Beschwerdeführer 3), sondern auch die mangelnde Vertretung der Eltern (Beschwerdeführerin 1 und Beigeladener) steht in der Kritik der Parteien. Art. 314 Abs. 1 i.V.m. Art. 449a ZGB besagt, dass die Kindesschutzbehörde wenn nötig die Vertretung der betroffenen Person anordnet und als Beistand oder Beiständin eine in fürsorgerischen und rechtlichen Fragen erfahrene Person bezeichnet. Die Formulierung ʺwenn nötigʺ gibt der Behörde einen Ermessensspielraum. Ein Anspruch auf Bestellung eines Beistandes ist grundsätzlich dann zu bejahen, wenn die betroffene Person nicht in der Lage ist, ihre Interessen selbständig wahrzunehmen und wenn sie zudem ausserstande ist, selber eine Vertretung zu bestellen (Auer/Marti, a.a.O., N. 7 zu Art. 449a). Die Ernennung erfolgt auf Antrag oder von Amtes wegen (BBl 2006 S. 7081; Auer/Marti, a.a.O., N. 14 zu Art. 449a; KOKES-Praxisanleitung Erwachsenenschutz, Zürich 2012, Rz. 1.171). Art. 449a ZGB vermittelt aber nicht das Recht auf einen unentgeltlichen Beistand (Auer/Marti, a.a.O., N. 4 zu Art. 449a). Dieses ergibt sich aus Art. 29 Abs. 3 BV und dem einschlägigen kantonalen Recht (BBl 2006 S. 7082; Christoph Häfeli, a.a.O., Rz. 33.26). Im Gegensatz zu Art. 314abis Abs. 2 Ziff. 1 ZGB wurde mit Art. 449a ZGB keine Pflicht zur Prüfung der Frage der Vertretungsbedürftigkeit in das Gesetz aufgenommen. Vor diesem Hintergrund und dem Umstand, dass die Gespräche mit der Beschwerdeführerin 1 immer im Beisein einer Übersetzerin stattgefunden haben und dieselbe und der Beigeladene um eine Vertretung nicht nachgesucht haben, obschon sie dazu in der Lage waren, musste im Laufe des vorinstanzlichen Verfahrens keine Vertretung bestellt werden.</w:t>
      </w:r>
    </w:p>
    <w:p>
      <w:r>
        <w:t>e) Der Vorinstanz wird weiter vorgeworfen, die Parteien mit ihrem Entscheid überrascht zu haben. Es hätte nie eine Chance bestanden sich gegen die Massnahme auszusprechen oder Alternativen vorzuschlagen. Sämtliche Parteien wurden wie es Art. 314a Abs. 1 und Art. 447 Abs. 1 ZGB verlangen persönlich angehört (Gespräche vom 13.08.2013, 04.09.2013, 30.10.2013, 04.11.2013). Diese Gespräche dienten einerseits der Sachaufklärung anderseits aber auch der Orientierung der Parteien. Konkrete Massnahmen wurden aber noch nicht aufgezeigt, trotzdem fürchtete die Beschwerdeführerin 1 seit Beginn an, die Beschwerdeführerin 2 und der Beschwerdeführer 3 könnten ihr weggenommen werden. Die jetzt strittige Massnahme wurde schliesslich am 20. Februar 2014 verfügt und den Parteien eröffnet. Gleichentags wurde die Verfügung vollstreckt. Diesem Vorgehen wohnt tatsächlich ein Überraschungsmoment inne. Dieser war indessen so von der Vorinstanz gewollt und kann bei Gefahr der Vereitelung einer Massnahme gerechtfertigt sein (BGE 105 Ia 197 E. 2b/cc; Michele Albertini, Der verfassungsmässige Anspruch auf rechtliches Gehör im Verwaltungsverfahren des modernen Staates, Bern 2000, S. 312 f.). Der ältere Bruder der Beschwerdeführerin 2 und des Beschwerdeführers 3 (Q, geb. XY) wurde ebenfalls fremdplatziert. Mit der Anfang Januar 2014 vollzogenen Fremdplatzierung gingen problematische Beeinflussungsversuche der Beschwerdeführerin 1 einher</w:t>
      </w:r>
    </w:p>
    <w:p>
      <w:r>
        <w:t>(vorinstanzliche Aktennotizen betreffend Q vom 12.12.2013 und 21.02.2014). Angesichts dessen ist nicht zu beanstanden, wenn das unter normalen Umständen sinnvoller Weise vorgängig zu gewährende Äusserungs- und Anhörungsrecht zugunsten des Kindeswohles zurückzutreten hatte. Eine Gehörsverletzung ist nicht ersichtlich.</w:t>
      </w:r>
    </w:p>
    <w:p>
      <w:r>
        <w:t>f) Soweit sich die Beschwerdeführerin 1 in allgemeiner Weise gegen die Amtsführung der Vorinstanz richtet, ist darauf nicht einzugehen. Dasselbe gilt auch hinsichtlich der Kritik an der fürsorgerischen Unterbringung vom 20. Februar 2014 (Abschreibungsbeschluss Obergericht des Kantons Uri vom 27.03.2014, OG V 14 13) und der Ausübung der verfügten Erziehungsbeistandschaft. Diese Massnahmen sind vorliegend nicht Gegenstand des Verfahrens.</w:t>
      </w:r>
    </w:p>
    <w:p>
      <w:r>
        <w:rPr>
          <w:b/>
        </w:rPr>
        <w:t>E. 7</w:t>
      </w:r>
    </w:p>
    <w:p>
      <w:r>
        <w:t>Ist das Wohl des Kindes gefährdet und sorgen die Eltern nicht von sich aus für Abhilfe oder sind sie dazu ausserstande, so trifft die Kindesschutzbehörde die geeigneten Massnahme zum Schutz des Kindes (Art. 307 Abs. 1 ZGB). Nach Art. 310 Abs. 1 ZGB hat die Kindesschutzbehörde, wenn einer Gefährdung des Kindes nicht anders begegnet werden kann, dieses den Eltern wegzunehmen und in angemessener Weise unterzubringen.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den Anlagen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(Subsidiarität), und es ist immer die mildeste Erfolg versprechende Massnahme anzuordnen (Proportionalität); diese sollen elterliche Bemühungen nicht ersetzen, sondern ergänzen (Komplementarität). Die Entziehung der elterlichen Obhut ist daher nur zulässig, wenn andere Massnahmen ohne Erfolg geblieben sind oder von vornherein als ungenügend erscheinen (BGE 5A_615/2013 vom 02.12.2013 E. 2.2).</w:t>
      </w:r>
    </w:p>
    <w:p>
      <w:r>
        <w:t>a) Die Vorinstanz hielt im angefochtenen Entscheid fest, dass die Beschwerdeführerin 2 und der Beschwerdeführer 3 langfristig in einer Institution fremdplatziert werden müssten. Die Beziehung der Eltern (Beschwerdeführerin 1 und Beigeladener) sei seit langer Zeit geprägt durch lautstarke Streitigkeiten und Gewaltvorkommnissen. Weder die Mutter (Beschwerdeführerin 1) noch der Vater (Beigeladener) übten Kontrolle über die Kinder (Beschwerdeführerin 2 und Beschwerdeführer 3) aus und würden so ungenügenden Schutz und Sicherheit bieten. Es gelänge den Eltern bisher nicht, genügend und angemessen auf die Beschwerdeführerin 2 und den Beschwerdeführer 3 erzieherisch einzuwirken. Das Kindeswohl sei aufgrund einer anhaltenden Vernachlässigung gefährdet. Die Eltern seien zum gegenwärtigen Zeitpunkt nicht in der Lage, die erzieherischen Bedürfnisse der Beschwerdeführerin 2 und des Beschwerdeführers 3 zu erkennen beziehungsweise wahrzunehmen. Die anhaltende Vernachlässigung durch die Mutter zeige sich dadurch, dass sie am Alltag der Kinder nicht teilnehme, keinerlei Kontakt zur Schule pflege, morgens nicht aufstehe, ungenügend um die Versorgung der Kinder bemüht wäre. Bliebe der Vater der Wohnung länger fern, würden die Kinder durch die Mutter jeweils in aufwändigen Suchaktionen miteinbezogen, auch nachts. Der Beigeladene sei aufgrund seines langjährigen regelmässigen Alkoholkonsums ein unzuverlässiger Versorger der Kinder. Die Eltern vermögen nicht zu überzeugen, dass sie für eine Entwicklung der Kinder notwendige Versorgung in konstanter Weise aufkämen. Den Kindern würde eine für ihr Alter inadäquate Selbstständigkeit zugemutet, weshalb sie in ihrer Entwicklung gefährdet seien.</w:t>
      </w:r>
    </w:p>
    <w:p>
      <w:r>
        <w:t>b) Hierauf entgegnen die Beschwerdeführerin 1 und der Beigeladene, dass sich die Konfliktsituation seit ihrer Trennung beruhigt hätte. Sie stellen aber nicht in Abrede, dass die eheliche Beziehung stark konfliktträchtig war. Dieses Bild zeigt sich auch anhand der Aktenlage. Am 26. März 2008 erstattete der Vater des Beigeladenen, SS, bei der Gemeinde</w:t>
      </w:r>
    </w:p>
    <w:p>
      <w:r>
        <w:t>Altdorf eine Gefahrenmeldung und machte die Beschwerdeführerin 1 für die familiären Probleme verantwortlich. Die Beschwerdeführerin 1 ihrerseits sah den Grund der Schwierigkeiten vor allem im übermässigen Alkoholkonsum des Beigeladenen (Gespräch vom 28.04.2008). Dieser erwähnte die Bereitschaft der Beschwerdeführerin 1, ihm gegenüber tätlich zu werden (Gespräch vom 10.04.2008). Im Nachgang der damaligen Abklärungen wurde auf Anraten der Fachstelle Kindesschutz Uri per 17. Dezember 2008 eine ʺSozialpädagogische Familienbegleitungʺ eingerichtet. Als Schwerpunkte der Begleitung bezeichnete man die Unterstützung und Begleitung in Erziehungsfragen. Nach etwas mehr als drei Monaten wurde die Begleitung aufgegeben. Ab September 2010 fanden dann wieder auf Bestrebung der Beschwerdeführerin 1 und des Beigeladenen hin Begleitungen mit demselben Zweck statt. Im Mai 2011 wurden aber die Begleitungen bereits wieder eingestellt. Mit Gefahrenmeldung vom 29. Juni 2013 benachrichtigte die Kantonspolizei Uri die Vorinstanz darüber, dass es anlässlich eines Streites zwischen der Beschwerdeführerin 1 und des Beigeladenen zu Handgreiflichkeiten gekommen sei. Dabei hätten die drei Kinder nicht mehr in der elterlichen Wohnung bleiben wollen. Am 2. Juli 2013 reichte DD, eine Gefahrenmeldung ein. Darin führte sie aus, dass sie die Familie seit zehn Jahren kenne und der Streit zwischen den Eheleute immer wieder eskaliere. Mit Gefahrenmeldung vom 1. September 2013 berichtete die Kantonspolizei Uri von einem weiteren Einsatz. Im Rahmen des inzwischen eröffneten Verfahrens vor Vorinstanz wurden die Beschwerdeführerin 1 und der Beigeladene angehört. Die Anhörungen bestätigten die seit Anfang beklagten gewalttätigen und unkontrollierten Verhaltensweisen der Beschwerdeführerin 1, welche in ihrem Alltag isoliert und unsicher zu sein scheint, sowie die Neigung des Beigeladenen zu übermässigem Alkoholkonsum. Diese Probleme sind vielschichtiger, als dass sie mit einer Trennung aus dem Weg geräumt werden könnten. Behoben werden können diese Probleme nur, indem fachkundige Hilfe in Anspruch genommen wird. Dazu werden die Beschwerdeführerin 1 und der Beigeladene gemäss Ziffer 4 und 5 des Dispositives des angefochtenen Entscheides verpflichtet. Hierbei handelt es sich aber um eine Hilfestellung von bestimmter Dauer. Bis anhin ist ersichtlich, dass sich der Beigeladene in psychotherapeutische Behandlung begeben hat. Der Behandlungserfolg ist aber offen und die gegenwärtige Abstinenz nicht nachgewiesen. In Berücksichtigung dieser Ausgangslage stellt sich die Frage nach der Gefährdung des Kindeswohles.</w:t>
      </w:r>
    </w:p>
    <w:p>
      <w:r>
        <w:t>c) Die Eltern leiten mit Blick auf das Wohl des Kindes seine Pflege und Erziehung und treffen unter Vorbehalt seiner eigenen Handlungsfähigkeit die nötigen Entscheidungen (Art. 301 Abs. 1 ZGB). Die Eltern haben das Kind ihren Verhältnissen entsprechend zu erziehen und seine körperliche, geistige und sittliche Entfaltung zu fördern und zu schützen (Art. 302 Abs. 1 ZGB). Wer also mit dem Kind zu tun hat, soll dessen Integrität wahren und auf eine bestmögliche Entfaltung der Persönlichkeit des Minderjährigen hinwirken. Mit zunehmendem Alter des Kindes ist ausserdem auch dessen Meinung ernst zu nehmen (Hausheer/Geiser/Aebi-Müller, Das Familienrecht des Schweizerischen Zivilgesetzbuches, 5. Aufl., Bern 2014, Rz. 15.18). Die Beschwerdeführerin 2 äusserte anlässlich ihrer Anhörung vom 4. September 2013 den Wunsch, dass der Beigeladene nicht mehr trinke. Ausserdem könne sie sich vorstellen eine Bezugsperson zu erhalten, da sie niemanden hat, mit dem sie über ihre Probleme sprechen könne. Der Beschwerdeführer 3 wurde ebenfalls am 4. September 2013 angehört. Er bemerkte, dass er es nicht möge, wenn der Beigeladene betrunken sei und habe ihm das auch schon gesagt. Er möge es auch nicht, dass der Beigeladene am Wochenende so lange abwesend sei. Nebst diesen Anhörungen holte die Vorinstanz Erkundigungen über die Beschwerdeführerin 2 und den Beschwerdeführer 3 bei den damaligen Lehrpersonen und der Fachstelle Kindesschutz Uri ein. Laut der Meinung von FF, ehemalige Lehrperson der Beschwerdeführerin 2 und des Beschwerdeführers 3, werde die völlig fehlende Unterstützung zu Hause für den Beschwerdeführer 3 immer schwieriger. Er könne ausserhalb der Schulde nirgends hingehen und fragen oder darauf zählen, dass jemand mit ihm etwas bespräche, anschaue oder übe (Schreiben von FF an die Vorinstanz vom 12.10.2013). Gemäss Lernbericht Oktober 2013 von GG stelle sich die schulische Situation der Beschwerdeführerin 2 positiv dar. Daneben zeigte sich der HH der Schule YY, als er über die strittige Kindesschutzmassnahme informiert worden ist, wenig überrascht. Er</w:t>
      </w:r>
    </w:p>
    <w:p>
      <w:r>
        <w:t>betonte, dass seit Jahren massive Probleme innerhalb der Familie bestünden, viele Stellen beteiligt gewesen seien, ohne dass sich die Situation für die Kinder gebessert hätte. Wenn die Vorinstanz nun darlegt, dass den Kindern eine für ihr Alter inadäquate Selbstständigkeit zugemutet würde und deshalb ihre Entwicklung gefährdet sei, ist ihr beizupflichten. Eine kindgerechte Erziehung ist nicht ersichtlich. Es besteht ein Defizit an erzieherischer/elterliche Sorge. Die Eltern sind unfähig, sich adäquat um die Kinder zu kümmern, weil sie durch persönliche oder eheliche Probleme übermässig absorbiert sind. In einer solchen Situation kann ein Obhutsentzug angezeigt sein (siehe Christoph Häfeli, a.a.O., Rz. 41.31).</w:t>
      </w:r>
    </w:p>
    <w:p>
      <w:r>
        <w:t>d) Wo Beratung, Mahnung oder Weisung im Sinne von Art. 307 Abs. 3 ZGB als mildeste Massnahmen nicht ausreichen, ist eine Beistandschaft anzuordnen (Art. 308 f. ZGB), die elterliche Obhut aufzuheben (Art. 310) oder als ʺultima ratioʺ die elterliche Sorge aufzuheben (Art. 311 f. ZGB; Peter Breitschmid, Basler Kommentar, Zivilgesetzbuch I, 4. Aufl., 2010, N. 2 zu Art. 307). Vorliegend wurde die Obhut entzogen in Kombination mit Weisungen und der Errichtung einer Erziehungsbeistandschaft (Art. 308 Abs. 1 und Abs. 2 ZGB). Hierbei handelt es sich um umfassenden Kindesschutz. Angesichts der langjährigen Konfliktsituation, welcher weder von privater Seite noch mit behördlichen Massnahmen beizukommen war, durfte und musste die Vorinstanz die Obhut entziehen. Nur so können die elterlichen Defizite kompensiert und kann dem Erziehungsbedürfnis der Beschwerdeführerin 2 und des Beschwerdeführers 3 nachgekommen werden. Dabei erweist sich die gewählte Unterbringung als angemessen. Die elterlichen Bemühungen sollen aber berücksichtigt und bestärkt werden, um letztendlich eine Rückkehr der Kindern zu ermöglich (Peter Breitschmid, a.a.O., N. 11 zu Art. 310). Dazu ist es aber zu früh. Die Trennungssituation führt dazu, dass die Obhut einem Elternteil erteilt wird. Weder die Beschwerdeführerin 1 noch der Beigeladene ist zur Zeit für sich alleine in der Lage, die Betreuung dem Kindeswohl entsprechend auszuüben.</w:t>
      </w:r>
    </w:p>
    <w:p>
      <w:r>
        <w:t>e) Der Prozessbeistand handelt unabhängig von Behörden und Gericht aus eigenem Recht für das Kind. Er hat namentlich dafür zu sorgen, dass die Anliegen des Kindes und eine Beurteilung der Situation aus der Sicht des Kindes in den Prozess eingebracht werden. Seine Sachdarstellung ist insofern eine wertvolle Entscheidungshilfe in der Urteilsfindung, als sie sich dazu eignen kann, Unsicherheiten zu beseitigen und die subjektive Meinung des Kindes klarzustellen. Dessen Zuteilungswunsch muss beachtet werden, wenn das Kind in der Lage ist, eine stabile Absichtserklärung abzugeben, und der geäusserte Wunsch tatsächlich eine besondere innere Verbundenheit zu einem Elternteil zum Ausdruck bringt (BGE 5P.84/2006 vom 03.05.2006 E. 3.4). Der Prozessbeistand hat den Sachverhalt von sich umfassend und gewissenhaft abgeklärt. Es fällt auf, dass er die Familiensituation wohlwollender bewertet. Aus seiner Sicht träfe es in keiner Weise zu, dass die Kinder anhaltend vernachlässigt worden wären. Dennoch zeigen auch seine Sachverhaltsabklärungen auf, dass die von der Vorinstanz angeführten Unzulänglichkeiten bestanden haben. Es ist Aufgabe des Prozessbeistandes die Kinderbelange vollumfänglich in den Prozess einzubringen. Dementsprechend ist seine Perspektive auf den Fall eine andere als diejenige der Behörden (Yvo Biderbost, a.a.O., N. 5 zu Art. 314abis ZGB). Aus objektiver Sicht muss, auch wenn die Beschwerdeführerin 2 und der Beschwerdeführer 3 einen gegenteiligen Antrag gestellt haben, der Obhutsentzug aufrechterhalten bleiben.</w:t>
      </w:r>
    </w:p>
    <w:p>
      <w:r>
        <w:t>f) Die Parteien verlangen die Begutachtung der Beschwerdeführerin 1 und des Beigeladenen bezogen auf ihre Erziehungsfähigkeiten und die Erstellung eines kinderpsychiatrischen respektive -psychologischen Gutachtens. Es wird vorgebracht, dass eigentliche nähere fachliche, auch interdisziplinäre Abklärungen, welche erlauben würden, in zuverlässiger Weise die Voraussetzungen für die Aufhebung der elterlichen Obhut als gegeben zu betrachten, fehlen würden. Dem kann nicht zugestimmt werden. Gemäss Art. 314 Abs. 1 i.V.m. 446 ZGB erforscht die Kindes- und Erwachsenenschutzbehörde den Sachverhalt von Amtes wegen (Abs. 1). Sie zieht die erforderlichen Erkundigungen ein und erhebt die notwendigen Beweise. Sie kann eine geeignete Person oder Stelle mit Abklärungen beauftragen. Nötigenfalls ordnet sie das Gutachten einer sachverständigen</w:t>
      </w:r>
    </w:p>
    <w:p>
      <w:r>
        <w:t>Person an (Abs. 2). Die Kindesschutzbehörde ist eine Fachbehörde und setzt sich interdisziplinär zusammen (Art. 440 Abs. 1 und Abs. 3 ZGB; BBl 2006 S. 7073; Urs Vogel, in Basler Kommentar, a.a.O., N. 5 zu Art. 440; vgl. regierungsrätliche Medienmitteilungen vom 20.04.2012 und 07.11.2012). Darüber hinaus stehen der Vorinstanz unterstützende Dienste beiseite. Die Fachkompetenz der Vorinstanz erlaubt es vorliegend, auf externe Fachgutachten zu verzichten. Im Übrigen besteht kein Anlass dazu, die vor Vorinstanz durchgeführten persönlichen Anhörungen vor Obergericht zu wiederholen.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